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F86" w:rsidRPr="00833F86" w:rsidRDefault="00537CAC" w:rsidP="00537CA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537CAC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833F86">
        <w:rPr>
          <w:rFonts w:ascii="Arial" w:hAnsi="Arial" w:cs="Arial"/>
          <w:bCs/>
          <w:spacing w:val="-3"/>
          <w:sz w:val="22"/>
          <w:szCs w:val="22"/>
        </w:rPr>
        <w:t xml:space="preserve">Parliamentary Crime and Misconduct Committee is required to review the activities of the Crime and Misconduct Commission and report to the Legislative Assembly </w:t>
      </w:r>
      <w:r w:rsidR="003D26F0">
        <w:rPr>
          <w:rFonts w:ascii="Arial" w:hAnsi="Arial" w:cs="Arial"/>
          <w:bCs/>
          <w:spacing w:val="-3"/>
          <w:sz w:val="22"/>
          <w:szCs w:val="22"/>
        </w:rPr>
        <w:t>as near as possible to</w:t>
      </w:r>
      <w:r w:rsidR="00833F86">
        <w:rPr>
          <w:rFonts w:ascii="Arial" w:hAnsi="Arial" w:cs="Arial"/>
          <w:bCs/>
          <w:spacing w:val="-3"/>
          <w:sz w:val="22"/>
          <w:szCs w:val="22"/>
        </w:rPr>
        <w:t xml:space="preserve"> the end of each parliamentary term on </w:t>
      </w:r>
      <w:r w:rsidR="00833F86" w:rsidRPr="00833F86">
        <w:rPr>
          <w:rFonts w:ascii="Arial" w:hAnsi="Arial" w:cs="Arial"/>
          <w:sz w:val="22"/>
          <w:szCs w:val="22"/>
        </w:rPr>
        <w:t xml:space="preserve">any further action that should be taken in relation to the </w:t>
      </w:r>
      <w:r w:rsidR="00833F86" w:rsidRPr="00833F86">
        <w:rPr>
          <w:rFonts w:ascii="Arial" w:hAnsi="Arial" w:cs="Arial"/>
          <w:i/>
          <w:sz w:val="22"/>
          <w:szCs w:val="22"/>
        </w:rPr>
        <w:t>Crime and Misconduct Act 2001</w:t>
      </w:r>
      <w:r w:rsidR="00833F86" w:rsidRPr="00833F86">
        <w:rPr>
          <w:rFonts w:ascii="Arial" w:hAnsi="Arial" w:cs="Arial"/>
          <w:sz w:val="22"/>
          <w:szCs w:val="22"/>
        </w:rPr>
        <w:t xml:space="preserve"> or the functions, powers and operations of the C</w:t>
      </w:r>
      <w:r w:rsidR="00833F86">
        <w:rPr>
          <w:rFonts w:ascii="Arial" w:hAnsi="Arial" w:cs="Arial"/>
          <w:sz w:val="22"/>
          <w:szCs w:val="22"/>
        </w:rPr>
        <w:t xml:space="preserve">rime and </w:t>
      </w:r>
      <w:r w:rsidR="00833F86" w:rsidRPr="00833F86">
        <w:rPr>
          <w:rFonts w:ascii="Arial" w:hAnsi="Arial" w:cs="Arial"/>
          <w:sz w:val="22"/>
          <w:szCs w:val="22"/>
        </w:rPr>
        <w:t>M</w:t>
      </w:r>
      <w:r w:rsidR="00833F86">
        <w:rPr>
          <w:rFonts w:ascii="Arial" w:hAnsi="Arial" w:cs="Arial"/>
          <w:sz w:val="22"/>
          <w:szCs w:val="22"/>
        </w:rPr>
        <w:t xml:space="preserve">isconduct </w:t>
      </w:r>
      <w:r w:rsidR="00833F86" w:rsidRPr="00833F86">
        <w:rPr>
          <w:rFonts w:ascii="Arial" w:hAnsi="Arial" w:cs="Arial"/>
          <w:sz w:val="22"/>
          <w:szCs w:val="22"/>
        </w:rPr>
        <w:t>C</w:t>
      </w:r>
      <w:r w:rsidR="00833F86">
        <w:rPr>
          <w:rFonts w:ascii="Arial" w:hAnsi="Arial" w:cs="Arial"/>
          <w:sz w:val="22"/>
          <w:szCs w:val="22"/>
        </w:rPr>
        <w:t>ommission</w:t>
      </w:r>
      <w:r w:rsidR="00833F86" w:rsidRPr="00833F86">
        <w:rPr>
          <w:rFonts w:ascii="Arial" w:hAnsi="Arial" w:cs="Arial"/>
          <w:sz w:val="22"/>
          <w:szCs w:val="22"/>
        </w:rPr>
        <w:t>.</w:t>
      </w:r>
    </w:p>
    <w:p w:rsidR="00537CAC" w:rsidRPr="00537CAC" w:rsidRDefault="00833F86" w:rsidP="00537CA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33F86">
        <w:rPr>
          <w:rFonts w:ascii="Arial" w:hAnsi="Arial" w:cs="Arial"/>
          <w:sz w:val="22"/>
          <w:szCs w:val="22"/>
        </w:rPr>
        <w:t>On 20 April 2009, the P</w:t>
      </w:r>
      <w:r>
        <w:rPr>
          <w:rFonts w:ascii="Arial" w:hAnsi="Arial" w:cs="Arial"/>
          <w:sz w:val="22"/>
          <w:szCs w:val="22"/>
        </w:rPr>
        <w:t xml:space="preserve">arliamentary </w:t>
      </w:r>
      <w:r w:rsidRPr="00833F86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rime and </w:t>
      </w:r>
      <w:r w:rsidRPr="00833F86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isconduct </w:t>
      </w:r>
      <w:r w:rsidRPr="00833F86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ommittee</w:t>
      </w:r>
      <w:r w:rsidRPr="00833F86">
        <w:rPr>
          <w:rFonts w:ascii="Arial" w:hAnsi="Arial" w:cs="Arial"/>
          <w:sz w:val="22"/>
          <w:szCs w:val="22"/>
        </w:rPr>
        <w:t xml:space="preserve"> tabled Report </w:t>
      </w:r>
      <w:r>
        <w:rPr>
          <w:rFonts w:ascii="Arial" w:hAnsi="Arial" w:cs="Arial"/>
          <w:sz w:val="22"/>
          <w:szCs w:val="22"/>
        </w:rPr>
        <w:t>No</w:t>
      </w:r>
      <w:r w:rsidR="001E6159">
        <w:rPr>
          <w:rFonts w:ascii="Arial" w:hAnsi="Arial" w:cs="Arial"/>
          <w:sz w:val="22"/>
          <w:szCs w:val="22"/>
        </w:rPr>
        <w:t>. </w:t>
      </w:r>
      <w:r w:rsidRPr="00833F86">
        <w:rPr>
          <w:rFonts w:ascii="Arial" w:hAnsi="Arial" w:cs="Arial"/>
          <w:sz w:val="22"/>
          <w:szCs w:val="22"/>
        </w:rPr>
        <w:t xml:space="preserve">79 </w:t>
      </w:r>
      <w:r>
        <w:rPr>
          <w:rFonts w:ascii="Arial" w:hAnsi="Arial" w:cs="Arial"/>
          <w:sz w:val="22"/>
          <w:szCs w:val="22"/>
        </w:rPr>
        <w:t>in the Legislative Assembly.</w:t>
      </w:r>
    </w:p>
    <w:p w:rsidR="00537CAC" w:rsidRDefault="00537CAC" w:rsidP="00537CA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537CAC">
        <w:rPr>
          <w:rFonts w:ascii="Arial" w:hAnsi="Arial" w:cs="Arial"/>
          <w:sz w:val="22"/>
          <w:szCs w:val="22"/>
          <w:u w:val="single"/>
        </w:rPr>
        <w:t>Cabinet approved</w:t>
      </w:r>
      <w:r w:rsidRPr="00537CA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the </w:t>
      </w:r>
      <w:r w:rsidR="00833F86">
        <w:rPr>
          <w:rFonts w:ascii="Arial" w:hAnsi="Arial" w:cs="Arial"/>
          <w:sz w:val="22"/>
          <w:szCs w:val="22"/>
        </w:rPr>
        <w:t xml:space="preserve">tabling in the Legislative Assembly of the Government Response to the Parliamentary Crime and Misconduct Commission Report No. 79, April 2009, </w:t>
      </w:r>
      <w:r w:rsidR="00833F86" w:rsidRPr="00833F86">
        <w:rPr>
          <w:rFonts w:ascii="Arial" w:hAnsi="Arial" w:cs="Arial"/>
          <w:i/>
          <w:sz w:val="22"/>
          <w:szCs w:val="22"/>
        </w:rPr>
        <w:t>Three Yearly Review of the Crime and Misconduct Commission</w:t>
      </w:r>
      <w:r w:rsidR="00833F86">
        <w:rPr>
          <w:rFonts w:ascii="Arial" w:hAnsi="Arial" w:cs="Arial"/>
          <w:sz w:val="22"/>
          <w:szCs w:val="22"/>
        </w:rPr>
        <w:t>.</w:t>
      </w:r>
    </w:p>
    <w:p w:rsidR="00537CAC" w:rsidRPr="00537CAC" w:rsidRDefault="00537CAC" w:rsidP="00537CA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1E6159">
        <w:rPr>
          <w:rFonts w:ascii="Arial" w:hAnsi="Arial" w:cs="Arial"/>
          <w:i/>
          <w:sz w:val="22"/>
          <w:szCs w:val="22"/>
          <w:u w:val="single"/>
        </w:rPr>
        <w:t>Attachments</w:t>
      </w:r>
      <w:r w:rsidRPr="00537CAC">
        <w:rPr>
          <w:rFonts w:ascii="Arial" w:hAnsi="Arial" w:cs="Arial"/>
          <w:i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t>-</w:t>
      </w:r>
    </w:p>
    <w:p w:rsidR="00833F86" w:rsidRPr="00D859E1" w:rsidRDefault="00D859E1" w:rsidP="001E6159">
      <w:pPr>
        <w:numPr>
          <w:ilvl w:val="0"/>
          <w:numId w:val="6"/>
        </w:numPr>
        <w:spacing w:before="240"/>
        <w:jc w:val="both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 w:rsidR="00CF0A98">
        <w:rPr>
          <w:rFonts w:ascii="Arial" w:hAnsi="Arial" w:cs="Arial"/>
          <w:sz w:val="22"/>
          <w:szCs w:val="22"/>
        </w:rPr>
        <w:instrText>HYPERLINK "Attachments/Govt response to PCMC rpt No 79.pdf"</w:instrText>
      </w:r>
      <w:r>
        <w:rPr>
          <w:rFonts w:ascii="Arial" w:hAnsi="Arial" w:cs="Arial"/>
          <w:sz w:val="22"/>
          <w:szCs w:val="22"/>
        </w:rPr>
        <w:fldChar w:fldCharType="separate"/>
      </w:r>
      <w:r w:rsidR="00833F86" w:rsidRPr="00D859E1">
        <w:rPr>
          <w:rStyle w:val="Hyperlink"/>
          <w:rFonts w:ascii="Arial" w:hAnsi="Arial" w:cs="Arial"/>
          <w:sz w:val="22"/>
          <w:szCs w:val="22"/>
        </w:rPr>
        <w:t xml:space="preserve">Government Response to the Parliamentary Crime and Misconduct Commission Report No. 79, April 2009, </w:t>
      </w:r>
      <w:r w:rsidR="00833F86" w:rsidRPr="00D859E1">
        <w:rPr>
          <w:rStyle w:val="Hyperlink"/>
          <w:rFonts w:ascii="Arial" w:hAnsi="Arial" w:cs="Arial"/>
          <w:i/>
          <w:sz w:val="22"/>
          <w:szCs w:val="22"/>
        </w:rPr>
        <w:t>Three Yearly Review of the Crime and Misconduct Commission</w:t>
      </w:r>
      <w:r w:rsidR="00833F86" w:rsidRPr="00D859E1">
        <w:rPr>
          <w:rStyle w:val="Hyperlink"/>
          <w:rFonts w:ascii="Arial" w:hAnsi="Arial" w:cs="Arial"/>
          <w:sz w:val="22"/>
          <w:szCs w:val="22"/>
        </w:rPr>
        <w:t>.</w:t>
      </w:r>
    </w:p>
    <w:p w:rsidR="00537CAC" w:rsidRPr="00C07656" w:rsidRDefault="00D859E1" w:rsidP="00833F86">
      <w:pPr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end"/>
      </w:r>
    </w:p>
    <w:p w:rsidR="00537CAC" w:rsidRDefault="00537CAC" w:rsidP="00537CAC"/>
    <w:p w:rsidR="00094A7F" w:rsidRDefault="00094A7F"/>
    <w:sectPr w:rsidR="00094A7F" w:rsidSect="00537CAC">
      <w:headerReference w:type="default" r:id="rId7"/>
      <w:footerReference w:type="default" r:id="rId8"/>
      <w:pgSz w:w="11907" w:h="16840" w:code="9"/>
      <w:pgMar w:top="1985" w:right="1418" w:bottom="907" w:left="1418" w:header="89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D9C" w:rsidRDefault="00AD0D9C">
      <w:r>
        <w:separator/>
      </w:r>
    </w:p>
  </w:endnote>
  <w:endnote w:type="continuationSeparator" w:id="0">
    <w:p w:rsidR="00AD0D9C" w:rsidRDefault="00AD0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97D" w:rsidRPr="001141E1" w:rsidRDefault="0056697D" w:rsidP="00537CAC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D9C" w:rsidRDefault="00AD0D9C">
      <w:r>
        <w:separator/>
      </w:r>
    </w:p>
  </w:footnote>
  <w:footnote w:type="continuationSeparator" w:id="0">
    <w:p w:rsidR="00AD0D9C" w:rsidRDefault="00AD0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97D" w:rsidRDefault="00AE7FB6" w:rsidP="00537CAC">
    <w:pPr>
      <w:pStyle w:val="Header"/>
      <w:jc w:val="both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3810</wp:posOffset>
          </wp:positionV>
          <wp:extent cx="1476375" cy="476250"/>
          <wp:effectExtent l="0" t="0" r="0" b="0"/>
          <wp:wrapNone/>
          <wp:docPr id="2" name="Picture 2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6697D" w:rsidRDefault="0056697D" w:rsidP="00537CAC">
    <w:pPr>
      <w:pStyle w:val="Header"/>
      <w:jc w:val="both"/>
      <w:rPr>
        <w:rFonts w:ascii="Arial" w:hAnsi="Arial" w:cs="Arial"/>
        <w:b/>
        <w:sz w:val="22"/>
        <w:szCs w:val="22"/>
        <w:u w:val="single"/>
      </w:rPr>
    </w:pPr>
  </w:p>
  <w:p w:rsidR="0056697D" w:rsidRPr="000400F9" w:rsidRDefault="0056697D" w:rsidP="001E6159">
    <w:pPr>
      <w:pStyle w:val="Header"/>
      <w:jc w:val="center"/>
      <w:rPr>
        <w:rFonts w:ascii="Arial" w:hAnsi="Arial" w:cs="Arial"/>
        <w:b/>
        <w:sz w:val="22"/>
        <w:szCs w:val="22"/>
        <w:u w:val="single"/>
      </w:rPr>
    </w:pPr>
    <w:r w:rsidRPr="000400F9">
      <w:rPr>
        <w:rFonts w:ascii="Arial" w:hAnsi="Arial" w:cs="Arial"/>
        <w:b/>
        <w:sz w:val="22"/>
        <w:szCs w:val="22"/>
        <w:u w:val="single"/>
      </w:rPr>
      <w:t>Cabinet –</w:t>
    </w:r>
    <w:r>
      <w:rPr>
        <w:rFonts w:ascii="Arial" w:hAnsi="Arial" w:cs="Arial"/>
        <w:b/>
        <w:sz w:val="22"/>
        <w:szCs w:val="22"/>
        <w:u w:val="single"/>
      </w:rPr>
      <w:t xml:space="preserve"> October 2009</w:t>
    </w:r>
  </w:p>
  <w:p w:rsidR="0056697D" w:rsidRDefault="0056697D" w:rsidP="00537CA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Government Response to PCMC Report No. 79 Three yearly review of the Crime and Misconduct Commission </w:t>
    </w:r>
  </w:p>
  <w:p w:rsidR="0056697D" w:rsidRDefault="0056697D" w:rsidP="00537CA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5C687D">
      <w:rPr>
        <w:rFonts w:ascii="Arial" w:hAnsi="Arial" w:cs="Arial"/>
        <w:b/>
        <w:sz w:val="22"/>
        <w:szCs w:val="22"/>
        <w:u w:val="single"/>
      </w:rPr>
      <w:t xml:space="preserve">Attorney-General and Minister for </w:t>
    </w:r>
    <w:r>
      <w:rPr>
        <w:rFonts w:ascii="Arial" w:hAnsi="Arial" w:cs="Arial"/>
        <w:b/>
        <w:sz w:val="22"/>
        <w:szCs w:val="22"/>
        <w:u w:val="single"/>
      </w:rPr>
      <w:t>Industrial Relations</w:t>
    </w:r>
  </w:p>
  <w:p w:rsidR="0056697D" w:rsidRPr="00F10DF9" w:rsidRDefault="0056697D" w:rsidP="00537CAC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015AE"/>
    <w:multiLevelType w:val="hybridMultilevel"/>
    <w:tmpl w:val="D7E2949C"/>
    <w:lvl w:ilvl="0" w:tplc="24B48D42">
      <w:start w:val="1"/>
      <w:numFmt w:val="bullet"/>
      <w:lvlText w:val=""/>
      <w:lvlJc w:val="left"/>
      <w:pPr>
        <w:tabs>
          <w:tab w:val="num" w:pos="643"/>
        </w:tabs>
        <w:ind w:left="643" w:hanging="283"/>
      </w:pPr>
      <w:rPr>
        <w:rFonts w:ascii="Symbol" w:hAnsi="Symbol"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F72E34"/>
    <w:multiLevelType w:val="multilevel"/>
    <w:tmpl w:val="AF389512"/>
    <w:styleLink w:val="cabinet"/>
    <w:lvl w:ilvl="0">
      <w:start w:val="1"/>
      <w:numFmt w:val="decimal"/>
      <w:pStyle w:val="Style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pacing w:val="20"/>
        <w:position w:val="0"/>
      </w:rPr>
    </w:lvl>
    <w:lvl w:ilvl="1">
      <w:start w:val="1"/>
      <w:numFmt w:val="lowerLetter"/>
      <w:pStyle w:val="Cabinet2text"/>
      <w:lvlText w:val="(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pStyle w:val="Cabinet3text"/>
      <w:lvlText w:val="(%3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3">
      <w:start w:val="1"/>
      <w:numFmt w:val="bullet"/>
      <w:pStyle w:val="Cabinet4tex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</w:rPr>
    </w:lvl>
    <w:lvl w:ilvl="4">
      <w:start w:val="1"/>
      <w:numFmt w:val="bullet"/>
      <w:pStyle w:val="cabinet5tex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3F1717BE"/>
    <w:multiLevelType w:val="multilevel"/>
    <w:tmpl w:val="2396A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0B3013"/>
    <w:multiLevelType w:val="hybridMultilevel"/>
    <w:tmpl w:val="27288AE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  <w:lvlOverride w:ilvl="0">
      <w:lvl w:ilvl="0">
        <w:start w:val="1"/>
        <w:numFmt w:val="decimal"/>
        <w:pStyle w:val="StyleJustified"/>
        <w:lvlText w:val="%1."/>
        <w:lvlJc w:val="left"/>
        <w:pPr>
          <w:tabs>
            <w:tab w:val="num" w:pos="567"/>
          </w:tabs>
          <w:ind w:left="567" w:hanging="567"/>
        </w:pPr>
        <w:rPr>
          <w:rFonts w:ascii="Times New Roman" w:hAnsi="Times New Roman" w:cs="Times New Roman" w:hint="default"/>
          <w:b w:val="0"/>
          <w:spacing w:val="20"/>
          <w:position w:val="0"/>
          <w:sz w:val="24"/>
          <w:szCs w:val="24"/>
        </w:rPr>
      </w:lvl>
    </w:lvlOverride>
  </w:num>
  <w:num w:numId="5">
    <w:abstractNumId w:val="1"/>
    <w:lvlOverride w:ilvl="0">
      <w:lvl w:ilvl="0">
        <w:start w:val="1"/>
        <w:numFmt w:val="decimal"/>
        <w:pStyle w:val="StyleJustified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  <w:spacing w:val="20"/>
          <w:position w:val="0"/>
        </w:rPr>
      </w:lvl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CAC"/>
    <w:rsid w:val="000110A4"/>
    <w:rsid w:val="0005445D"/>
    <w:rsid w:val="00094A7F"/>
    <w:rsid w:val="000F6C73"/>
    <w:rsid w:val="001311CF"/>
    <w:rsid w:val="00157484"/>
    <w:rsid w:val="001E6159"/>
    <w:rsid w:val="002A2A2D"/>
    <w:rsid w:val="002F04DA"/>
    <w:rsid w:val="00353095"/>
    <w:rsid w:val="003A7630"/>
    <w:rsid w:val="003D26F0"/>
    <w:rsid w:val="0042075D"/>
    <w:rsid w:val="004426E0"/>
    <w:rsid w:val="00445D8E"/>
    <w:rsid w:val="004A0014"/>
    <w:rsid w:val="00537CAC"/>
    <w:rsid w:val="0056697D"/>
    <w:rsid w:val="005C2255"/>
    <w:rsid w:val="005E7EEF"/>
    <w:rsid w:val="005F4CBD"/>
    <w:rsid w:val="0063067C"/>
    <w:rsid w:val="00660FCA"/>
    <w:rsid w:val="00662404"/>
    <w:rsid w:val="006C657B"/>
    <w:rsid w:val="006E4C15"/>
    <w:rsid w:val="00716623"/>
    <w:rsid w:val="00783D5E"/>
    <w:rsid w:val="00833F86"/>
    <w:rsid w:val="00891ED0"/>
    <w:rsid w:val="008A204D"/>
    <w:rsid w:val="0090655A"/>
    <w:rsid w:val="009A1FC4"/>
    <w:rsid w:val="00A053FE"/>
    <w:rsid w:val="00AD0D9C"/>
    <w:rsid w:val="00AE7FB6"/>
    <w:rsid w:val="00B44F21"/>
    <w:rsid w:val="00B779C1"/>
    <w:rsid w:val="00BB788B"/>
    <w:rsid w:val="00BD0C42"/>
    <w:rsid w:val="00C239AA"/>
    <w:rsid w:val="00C7315B"/>
    <w:rsid w:val="00CF0A98"/>
    <w:rsid w:val="00D859E1"/>
    <w:rsid w:val="00DB228C"/>
    <w:rsid w:val="00DB232D"/>
    <w:rsid w:val="00DB4279"/>
    <w:rsid w:val="00E36044"/>
    <w:rsid w:val="00E43708"/>
    <w:rsid w:val="00E8014A"/>
    <w:rsid w:val="00EB262B"/>
    <w:rsid w:val="00EF1334"/>
    <w:rsid w:val="00F67BF3"/>
    <w:rsid w:val="00F8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C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37CA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37CAC"/>
    <w:pPr>
      <w:tabs>
        <w:tab w:val="center" w:pos="4153"/>
        <w:tab w:val="right" w:pos="8306"/>
      </w:tabs>
    </w:pPr>
  </w:style>
  <w:style w:type="numbering" w:customStyle="1" w:styleId="cabinet">
    <w:name w:val="cabinet"/>
    <w:rsid w:val="00157484"/>
    <w:pPr>
      <w:numPr>
        <w:numId w:val="7"/>
      </w:numPr>
    </w:pPr>
  </w:style>
  <w:style w:type="paragraph" w:customStyle="1" w:styleId="StyleJustified">
    <w:name w:val="Style Justified"/>
    <w:basedOn w:val="Normal"/>
    <w:rsid w:val="00157484"/>
    <w:pPr>
      <w:numPr>
        <w:numId w:val="4"/>
      </w:numPr>
      <w:spacing w:before="240"/>
      <w:jc w:val="both"/>
    </w:pPr>
    <w:rPr>
      <w:szCs w:val="20"/>
    </w:rPr>
  </w:style>
  <w:style w:type="paragraph" w:customStyle="1" w:styleId="Cabinet2text">
    <w:name w:val="Cabinet 2 text"/>
    <w:basedOn w:val="Normal"/>
    <w:rsid w:val="00157484"/>
    <w:pPr>
      <w:numPr>
        <w:ilvl w:val="1"/>
        <w:numId w:val="4"/>
      </w:numPr>
      <w:spacing w:before="120"/>
      <w:jc w:val="both"/>
    </w:pPr>
    <w:rPr>
      <w:szCs w:val="20"/>
    </w:rPr>
  </w:style>
  <w:style w:type="paragraph" w:customStyle="1" w:styleId="Cabinet3text">
    <w:name w:val="Cabinet 3 text"/>
    <w:basedOn w:val="Cabinet2text"/>
    <w:rsid w:val="00157484"/>
    <w:pPr>
      <w:numPr>
        <w:ilvl w:val="2"/>
      </w:numPr>
    </w:pPr>
  </w:style>
  <w:style w:type="paragraph" w:customStyle="1" w:styleId="Cabinet4text">
    <w:name w:val="Cabinet 4 text"/>
    <w:basedOn w:val="Cabinet2text"/>
    <w:rsid w:val="00157484"/>
    <w:pPr>
      <w:numPr>
        <w:ilvl w:val="3"/>
      </w:numPr>
    </w:pPr>
  </w:style>
  <w:style w:type="paragraph" w:customStyle="1" w:styleId="cabinet5text">
    <w:name w:val="cabinet 5 text"/>
    <w:basedOn w:val="Cabinet2text"/>
    <w:rsid w:val="00157484"/>
    <w:pPr>
      <w:numPr>
        <w:ilvl w:val="4"/>
      </w:numPr>
    </w:pPr>
  </w:style>
  <w:style w:type="paragraph" w:styleId="BalloonText">
    <w:name w:val="Balloon Text"/>
    <w:basedOn w:val="Normal"/>
    <w:semiHidden/>
    <w:rsid w:val="002F04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E61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778</Characters>
  <Application>Microsoft Office Word</Application>
  <DocSecurity>0</DocSecurity>
  <Lines>15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Manager/>
  <Company/>
  <LinksUpToDate>false</LinksUpToDate>
  <CharactersWithSpaces>918</CharactersWithSpaces>
  <SharedDoc>false</SharedDoc>
  <HyperlinkBase>https://www.cabinet.qld.gov.au/documents/2009/Oct/Govt response to PCMC Report No 79/</HyperlinkBase>
  <HLinks>
    <vt:vector size="6" baseType="variant">
      <vt:variant>
        <vt:i4>7667836</vt:i4>
      </vt:variant>
      <vt:variant>
        <vt:i4>0</vt:i4>
      </vt:variant>
      <vt:variant>
        <vt:i4>0</vt:i4>
      </vt:variant>
      <vt:variant>
        <vt:i4>5</vt:i4>
      </vt:variant>
      <vt:variant>
        <vt:lpwstr>Attachments/Govt response to PCMC rpt No 79.pdf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/>
  <cp:keywords>report,79,PCMC</cp:keywords>
  <dc:description/>
  <cp:lastModifiedBy/>
  <cp:revision>2</cp:revision>
  <cp:lastPrinted>2010-05-11T00:27:00Z</cp:lastPrinted>
  <dcterms:created xsi:type="dcterms:W3CDTF">2017-10-24T22:03:00Z</dcterms:created>
  <dcterms:modified xsi:type="dcterms:W3CDTF">2018-03-06T00:59:00Z</dcterms:modified>
  <cp:category>crime,parliament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-5839771</vt:i4>
  </property>
  <property fmtid="{D5CDD505-2E9C-101B-9397-08002B2CF9AE}" pid="4" name="_PreviousAdHocReviewCycleID">
    <vt:i4>449164484</vt:i4>
  </property>
  <property fmtid="{D5CDD505-2E9C-101B-9397-08002B2CF9AE}" pid="5" name="_ReviewingToolsShownOnce">
    <vt:lpwstr/>
  </property>
</Properties>
</file>